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9C720A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79586C" w:rsidRDefault="0079586C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 w:rsidRPr="00362DD3">
                    <w:rPr>
                      <w:b/>
                      <w:color w:val="0070C0"/>
                      <w:sz w:val="22"/>
                    </w:rPr>
                    <w:t xml:space="preserve">COMPRESSIONE </w:t>
                  </w:r>
                  <w:r w:rsidR="00F3712E" w:rsidRPr="00362DD3">
                    <w:rPr>
                      <w:b/>
                      <w:color w:val="0070C0"/>
                      <w:sz w:val="22"/>
                    </w:rPr>
                    <w:t xml:space="preserve">SU </w:t>
                  </w:r>
                  <w:r w:rsidRPr="00362DD3">
                    <w:rPr>
                      <w:b/>
                      <w:color w:val="0070C0"/>
                      <w:sz w:val="22"/>
                    </w:rPr>
                    <w:t>CUBI DI CLS</w:t>
                  </w:r>
                  <w:r w:rsidR="00362DD3" w:rsidRPr="00362DD3">
                    <w:rPr>
                      <w:b/>
                      <w:color w:val="0070C0"/>
                      <w:sz w:val="22"/>
                    </w:rPr>
                    <w:t>,</w:t>
                  </w:r>
                  <w:r w:rsidRPr="00362DD3">
                    <w:rPr>
                      <w:b/>
                      <w:color w:val="0070C0"/>
                      <w:sz w:val="22"/>
                    </w:rPr>
                    <w:t xml:space="preserve"> TRAZIONE </w:t>
                  </w:r>
                  <w:r w:rsidR="00362DD3" w:rsidRPr="00362DD3">
                    <w:rPr>
                      <w:b/>
                      <w:color w:val="0070C0"/>
                      <w:sz w:val="22"/>
                    </w:rPr>
                    <w:t xml:space="preserve">E PIEGA </w:t>
                  </w:r>
                  <w:r w:rsidRPr="00362DD3">
                    <w:rPr>
                      <w:b/>
                      <w:color w:val="0070C0"/>
                      <w:sz w:val="22"/>
                    </w:rPr>
                    <w:t>SU BARRE E RETI</w:t>
                  </w:r>
                  <w:r w:rsidR="00F3712E" w:rsidRPr="00362DD3">
                    <w:rPr>
                      <w:b/>
                      <w:color w:val="0070C0"/>
                      <w:sz w:val="22"/>
                    </w:rPr>
                    <w:t xml:space="preserve"> DA C.A.</w:t>
                  </w:r>
                </w:p>
                <w:p w:rsidR="00D51B19" w:rsidRPr="00D51B19" w:rsidRDefault="00362DD3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MR003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8E293B" w:rsidRPr="007000C6" w:rsidRDefault="008E293B" w:rsidP="009D0F91">
      <w:pPr>
        <w:spacing w:before="60" w:after="60"/>
        <w:jc w:val="center"/>
        <w:rPr>
          <w:b/>
          <w:bCs/>
          <w:sz w:val="22"/>
          <w:szCs w:val="22"/>
        </w:rPr>
      </w:pPr>
      <w:r w:rsidRPr="007000C6">
        <w:rPr>
          <w:b/>
          <w:bCs/>
          <w:sz w:val="22"/>
          <w:szCs w:val="22"/>
        </w:rPr>
        <w:t>Oggetto : LEGGE 1086/71 – D.M</w:t>
      </w:r>
      <w:r w:rsidR="005C7CC7" w:rsidRPr="007000C6">
        <w:rPr>
          <w:b/>
          <w:bCs/>
          <w:sz w:val="22"/>
          <w:szCs w:val="22"/>
        </w:rPr>
        <w:t>. II.TT. 17/01/1</w:t>
      </w:r>
      <w:r w:rsidR="00E76924">
        <w:rPr>
          <w:b/>
          <w:bCs/>
          <w:sz w:val="22"/>
          <w:szCs w:val="22"/>
        </w:rPr>
        <w:t>8 – Controlli sui materiali</w:t>
      </w:r>
    </w:p>
    <w:p w:rsidR="00C53E1B" w:rsidRDefault="009C720A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9C720A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5.5pt;height:301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9940" w:type="dxa"/>
                    <w:jc w:val="center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05"/>
                    <w:gridCol w:w="416"/>
                    <w:gridCol w:w="2091"/>
                    <w:gridCol w:w="1005"/>
                    <w:gridCol w:w="1298"/>
                    <w:gridCol w:w="146"/>
                    <w:gridCol w:w="393"/>
                    <w:gridCol w:w="816"/>
                    <w:gridCol w:w="1104"/>
                    <w:gridCol w:w="1085"/>
                    <w:gridCol w:w="1112"/>
                  </w:tblGrid>
                  <w:tr w:rsidR="00B9500C" w:rsidTr="00B9500C">
                    <w:trPr>
                      <w:trHeight w:val="225"/>
                      <w:jc w:val="center"/>
                    </w:trPr>
                    <w:tc>
                      <w:tcPr>
                        <w:tcW w:w="5290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PROVE DI COMPRESSIONE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 xml:space="preserve"> CUBI E/O CILINDRI IN CALCESTRUZZO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UNI EN ISO 12390/3-7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PROVE DI TRAZIONE E PIEGA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SU BARRE DI ACCIAIO PER C.A.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UNI EN ISO 15630/1</w:t>
                        </w:r>
                      </w:p>
                    </w:tc>
                  </w:tr>
                  <w:tr w:rsidR="00B9500C" w:rsidTr="00B9500C">
                    <w:trPr>
                      <w:trHeight w:val="225"/>
                      <w:jc w:val="center"/>
                    </w:trPr>
                    <w:tc>
                      <w:tcPr>
                        <w:tcW w:w="5290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225"/>
                      <w:jc w:val="center"/>
                    </w:trPr>
                    <w:tc>
                      <w:tcPr>
                        <w:tcW w:w="5290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765"/>
                      <w:jc w:val="center"/>
                    </w:trPr>
                    <w:tc>
                      <w:tcPr>
                        <w:tcW w:w="59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Rif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di Verbale Prelievo 2 cubi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a+b</w:t>
                        </w:r>
                        <w:proofErr w:type="spellEnd"/>
                      </w:p>
                    </w:tc>
                    <w:tc>
                      <w:tcPr>
                        <w:tcW w:w="30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Rck</w:t>
                        </w:r>
                        <w:proofErr w:type="spellEnd"/>
                      </w:p>
                    </w:tc>
                    <w:tc>
                      <w:tcPr>
                        <w:tcW w:w="209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Struttura corrispondente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 xml:space="preserve">(es: fondazioni,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solaio,etc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Data getto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gg.mm.aaaa</w:t>
                        </w:r>
                        <w:proofErr w:type="spellEnd"/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3F9B" w:rsidRDefault="00E76924" w:rsidP="004C3F9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Ø</w:t>
                        </w:r>
                        <w:r w:rsidR="004C3F9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4C3F9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TERNA</w:t>
                        </w:r>
                      </w:p>
                      <w:p w:rsidR="00E76924" w:rsidRPr="00E76924" w:rsidRDefault="00E76924" w:rsidP="004C3F9B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6924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(mm)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Struttura corrispondente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(es: fondazioni, solaio,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etc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…)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59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PROVE DI TRAZIONE E DISTACCO DEL NODO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PER RETI DA C.A.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UNI EN ISO 15630/2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 w:rsidRPr="00E76924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E7692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Ømin,Ømax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E7692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Passo della maglia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E76924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Struttura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Pr="00E76924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E76924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Contrassegno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Note: E’ obbligatorio segnalare l’eventuale provenienza da acciai deformati a freddo. Per ogni consegna in cantiere di Barre prelevare n. 3 campioni di lunghezza ≥ 1.20 ml  per ogni Æ (≥1.40 se Æ≥30mm); 3 fogli di RETE, per ogni Æ, di </w:t>
                        </w:r>
                        <w:proofErr w:type="spellStart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lungh</w:t>
                        </w:r>
                        <w:proofErr w:type="spellEnd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. e </w:t>
                        </w:r>
                        <w:proofErr w:type="spellStart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largh</w:t>
                        </w:r>
                        <w:proofErr w:type="spellEnd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. ≥1ml; 3 tralicci l ≥1.1ml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9C720A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Contanti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8B94-54F7-4096-A67A-EE259DB1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8</cp:revision>
  <cp:lastPrinted>2018-04-17T08:07:00Z</cp:lastPrinted>
  <dcterms:created xsi:type="dcterms:W3CDTF">2018-04-18T12:43:00Z</dcterms:created>
  <dcterms:modified xsi:type="dcterms:W3CDTF">2019-04-17T08:39:00Z</dcterms:modified>
</cp:coreProperties>
</file>